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880E1A" w:rsidRPr="002E139B" w:rsidRDefault="00553E61" w:rsidP="002E139B">
      <w:pPr>
        <w:jc w:val="center"/>
        <w:rPr>
          <w:rFonts w:ascii="Arial Black" w:hAnsi="Arial Black"/>
          <w:b/>
          <w:color w:val="948A54" w:themeColor="background2" w:themeShade="80"/>
          <w:szCs w:val="24"/>
        </w:rPr>
      </w:pPr>
      <w:r w:rsidRPr="002E139B">
        <w:rPr>
          <w:rFonts w:ascii="Arial Black" w:hAnsi="Arial Black"/>
          <w:b/>
          <w:color w:val="948A54" w:themeColor="background2" w:themeShade="80"/>
          <w:spacing w:val="-5"/>
          <w:w w:val="130"/>
          <w:szCs w:val="24"/>
        </w:rPr>
        <w:t xml:space="preserve">Code </w:t>
      </w:r>
      <w:r w:rsidRPr="002E139B">
        <w:rPr>
          <w:rFonts w:ascii="Arial Black" w:hAnsi="Arial Black"/>
          <w:b/>
          <w:color w:val="948A54" w:themeColor="background2" w:themeShade="80"/>
          <w:spacing w:val="-8"/>
          <w:w w:val="130"/>
          <w:szCs w:val="24"/>
        </w:rPr>
        <w:t xml:space="preserve">of </w:t>
      </w:r>
      <w:r w:rsidRPr="002E139B">
        <w:rPr>
          <w:rFonts w:ascii="Arial Black" w:hAnsi="Arial Black"/>
          <w:b/>
          <w:color w:val="948A54" w:themeColor="background2" w:themeShade="80"/>
          <w:w w:val="130"/>
          <w:szCs w:val="24"/>
        </w:rPr>
        <w:t xml:space="preserve">Practices </w:t>
      </w:r>
      <w:r w:rsidRPr="002E139B">
        <w:rPr>
          <w:rFonts w:ascii="Arial Black" w:hAnsi="Arial Black"/>
          <w:b/>
          <w:color w:val="948A54" w:themeColor="background2" w:themeShade="80"/>
          <w:spacing w:val="-4"/>
          <w:w w:val="130"/>
          <w:szCs w:val="24"/>
        </w:rPr>
        <w:t xml:space="preserve">and </w:t>
      </w:r>
      <w:r w:rsidRPr="002E139B">
        <w:rPr>
          <w:rFonts w:ascii="Arial Black" w:hAnsi="Arial Black"/>
          <w:b/>
          <w:color w:val="948A54" w:themeColor="background2" w:themeShade="80"/>
          <w:w w:val="130"/>
          <w:szCs w:val="24"/>
        </w:rPr>
        <w:t xml:space="preserve">Procedures </w:t>
      </w:r>
      <w:r w:rsidRPr="002E139B">
        <w:rPr>
          <w:rFonts w:ascii="Arial Black" w:hAnsi="Arial Black"/>
          <w:b/>
          <w:color w:val="948A54" w:themeColor="background2" w:themeShade="80"/>
          <w:spacing w:val="2"/>
          <w:w w:val="130"/>
          <w:szCs w:val="24"/>
        </w:rPr>
        <w:t xml:space="preserve">for </w:t>
      </w:r>
      <w:r w:rsidRPr="002E139B">
        <w:rPr>
          <w:rFonts w:ascii="Arial Black" w:hAnsi="Arial Black"/>
          <w:b/>
          <w:color w:val="948A54" w:themeColor="background2" w:themeShade="80"/>
          <w:w w:val="130"/>
          <w:szCs w:val="24"/>
        </w:rPr>
        <w:t xml:space="preserve">Fair </w:t>
      </w:r>
      <w:r w:rsidRPr="002E139B">
        <w:rPr>
          <w:rFonts w:ascii="Arial Black" w:hAnsi="Arial Black"/>
          <w:b/>
          <w:color w:val="948A54" w:themeColor="background2" w:themeShade="80"/>
          <w:spacing w:val="-3"/>
          <w:w w:val="130"/>
          <w:szCs w:val="24"/>
        </w:rPr>
        <w:t xml:space="preserve">Disclosure </w:t>
      </w:r>
      <w:r w:rsidRPr="002E139B">
        <w:rPr>
          <w:rFonts w:ascii="Arial Black" w:hAnsi="Arial Black"/>
          <w:b/>
          <w:color w:val="948A54" w:themeColor="background2" w:themeShade="80"/>
          <w:spacing w:val="-13"/>
          <w:w w:val="130"/>
          <w:szCs w:val="24"/>
        </w:rPr>
        <w:t xml:space="preserve">of </w:t>
      </w:r>
      <w:r w:rsidRPr="002E139B">
        <w:rPr>
          <w:rFonts w:ascii="Arial Black" w:hAnsi="Arial Black"/>
          <w:b/>
          <w:color w:val="948A54" w:themeColor="background2" w:themeShade="80"/>
          <w:spacing w:val="-6"/>
          <w:w w:val="130"/>
          <w:szCs w:val="24"/>
        </w:rPr>
        <w:t xml:space="preserve">Unpublished </w:t>
      </w:r>
      <w:r w:rsidRPr="002E139B">
        <w:rPr>
          <w:rFonts w:ascii="Arial Black" w:hAnsi="Arial Black"/>
          <w:b/>
          <w:color w:val="948A54" w:themeColor="background2" w:themeShade="80"/>
          <w:w w:val="130"/>
          <w:szCs w:val="24"/>
        </w:rPr>
        <w:t xml:space="preserve">Price </w:t>
      </w:r>
      <w:r w:rsidRPr="002E139B">
        <w:rPr>
          <w:rFonts w:ascii="Arial Black" w:hAnsi="Arial Black"/>
          <w:b/>
          <w:color w:val="948A54" w:themeColor="background2" w:themeShade="80"/>
          <w:spacing w:val="-4"/>
          <w:w w:val="130"/>
          <w:szCs w:val="24"/>
        </w:rPr>
        <w:t xml:space="preserve">Sensitive </w:t>
      </w:r>
      <w:r w:rsidRPr="002E139B">
        <w:rPr>
          <w:rFonts w:ascii="Arial Black" w:hAnsi="Arial Black"/>
          <w:b/>
          <w:color w:val="948A54" w:themeColor="background2" w:themeShade="80"/>
          <w:w w:val="130"/>
          <w:szCs w:val="24"/>
        </w:rPr>
        <w:t>Information</w:t>
      </w:r>
    </w:p>
    <w:p w:rsidR="00880E1A" w:rsidRPr="002E139B" w:rsidRDefault="005C5871" w:rsidP="002E139B">
      <w:pPr>
        <w:pStyle w:val="BodyText"/>
        <w:rPr>
          <w:rFonts w:ascii="Arial Black" w:hAnsi="Arial Black"/>
          <w:b/>
          <w:color w:val="0070C0"/>
          <w:sz w:val="18"/>
        </w:rPr>
      </w:pPr>
      <w:r>
        <w:rPr>
          <w:rFonts w:ascii="Arial Black" w:hAnsi="Arial Black"/>
          <w:color w:val="0070C0"/>
          <w:sz w:val="18"/>
        </w:rPr>
        <w:pict>
          <v:line id="_x0000_s1026" style="position:absolute;z-index:-251658752;mso-wrap-distance-left:0;mso-wrap-distance-right:0;mso-position-horizontal-relative:page" from="72.6pt,11.45pt" to="522.6pt,11.45pt" strokeweight=".6pt">
            <w10:wrap type="topAndBottom" anchorx="page"/>
          </v:line>
        </w:pict>
      </w:r>
    </w:p>
    <w:p w:rsidR="00880E1A" w:rsidRPr="002E139B" w:rsidRDefault="00880E1A" w:rsidP="002E139B">
      <w:pPr>
        <w:pStyle w:val="BodyText"/>
        <w:rPr>
          <w:rFonts w:ascii="Arial Black" w:hAnsi="Arial Black"/>
          <w:b/>
          <w:color w:val="0070C0"/>
          <w:sz w:val="18"/>
        </w:rPr>
      </w:pPr>
    </w:p>
    <w:p w:rsidR="00880E1A" w:rsidRPr="00CD164F" w:rsidRDefault="00553E61" w:rsidP="002E139B">
      <w:pPr>
        <w:pStyle w:val="Heading1"/>
        <w:numPr>
          <w:ilvl w:val="0"/>
          <w:numId w:val="3"/>
        </w:numPr>
        <w:tabs>
          <w:tab w:val="left" w:pos="270"/>
        </w:tabs>
        <w:ind w:left="0" w:firstLine="0"/>
        <w:jc w:val="left"/>
        <w:rPr>
          <w:rFonts w:ascii="Arial Black" w:hAnsi="Arial Black"/>
          <w:color w:val="0070C0"/>
          <w:sz w:val="18"/>
          <w:u w:val="single"/>
        </w:rPr>
      </w:pPr>
      <w:r w:rsidRPr="00CD164F">
        <w:rPr>
          <w:rFonts w:ascii="Arial Black" w:hAnsi="Arial Black"/>
          <w:color w:val="0070C0"/>
          <w:sz w:val="18"/>
          <w:u w:val="single"/>
        </w:rPr>
        <w:t>Preface:-</w:t>
      </w:r>
    </w:p>
    <w:p w:rsidR="002E139B" w:rsidRPr="002E139B" w:rsidRDefault="002E139B" w:rsidP="002E139B">
      <w:pPr>
        <w:pStyle w:val="Heading1"/>
        <w:tabs>
          <w:tab w:val="left" w:pos="341"/>
        </w:tabs>
        <w:ind w:left="0" w:firstLine="0"/>
        <w:jc w:val="right"/>
        <w:rPr>
          <w:rFonts w:ascii="Arial Black" w:hAnsi="Arial Black"/>
          <w:color w:val="0070C0"/>
          <w:sz w:val="18"/>
        </w:rPr>
      </w:pPr>
    </w:p>
    <w:p w:rsidR="00880E1A" w:rsidRDefault="00553E61" w:rsidP="002E139B">
      <w:pPr>
        <w:pStyle w:val="ListParagraph"/>
        <w:numPr>
          <w:ilvl w:val="1"/>
          <w:numId w:val="3"/>
        </w:numPr>
        <w:tabs>
          <w:tab w:val="left" w:pos="1068"/>
        </w:tabs>
        <w:ind w:left="450" w:hanging="270"/>
        <w:rPr>
          <w:rFonts w:ascii="Arial Black" w:hAnsi="Arial Black"/>
          <w:color w:val="0070C0"/>
          <w:sz w:val="18"/>
          <w:szCs w:val="24"/>
        </w:rPr>
      </w:pPr>
      <w:r w:rsidRPr="002E139B">
        <w:rPr>
          <w:rFonts w:ascii="Arial Black" w:hAnsi="Arial Black"/>
          <w:color w:val="0070C0"/>
          <w:sz w:val="18"/>
          <w:szCs w:val="24"/>
        </w:rPr>
        <w:t>This Code of Practices and Procedures for Fair Disclosure of Unpublished Price Sensitive Information is formed under Regulation 8(1) of the SEBI (Prohibition of Insider Trading) Regulation, 2015, which provides for formulation of a “Code of Practices and Procedures for Fair Disclosure of Unpublished Price Sensitive Information” for the Board of Directors of the Company.</w:t>
      </w:r>
    </w:p>
    <w:p w:rsidR="002E139B" w:rsidRPr="002E139B" w:rsidRDefault="002E139B" w:rsidP="002E139B">
      <w:pPr>
        <w:pStyle w:val="ListParagraph"/>
        <w:tabs>
          <w:tab w:val="left" w:pos="1068"/>
        </w:tabs>
        <w:ind w:left="450" w:hanging="270"/>
        <w:jc w:val="right"/>
        <w:rPr>
          <w:rFonts w:ascii="Arial Black" w:hAnsi="Arial Black"/>
          <w:color w:val="0070C0"/>
          <w:sz w:val="18"/>
          <w:szCs w:val="24"/>
        </w:rPr>
      </w:pPr>
    </w:p>
    <w:p w:rsidR="00880E1A" w:rsidRPr="002E139B" w:rsidRDefault="00553E61" w:rsidP="002E139B">
      <w:pPr>
        <w:pStyle w:val="ListParagraph"/>
        <w:numPr>
          <w:ilvl w:val="1"/>
          <w:numId w:val="3"/>
        </w:numPr>
        <w:tabs>
          <w:tab w:val="left" w:pos="1086"/>
          <w:tab w:val="left" w:pos="1087"/>
        </w:tabs>
        <w:ind w:left="450" w:hanging="270"/>
        <w:rPr>
          <w:rFonts w:ascii="Arial Black" w:hAnsi="Arial Black"/>
          <w:color w:val="0070C0"/>
          <w:sz w:val="18"/>
          <w:szCs w:val="24"/>
        </w:rPr>
      </w:pPr>
      <w:r w:rsidRPr="002E139B">
        <w:rPr>
          <w:rFonts w:ascii="Arial Black" w:hAnsi="Arial Black"/>
          <w:color w:val="0070C0"/>
          <w:sz w:val="18"/>
          <w:szCs w:val="24"/>
        </w:rPr>
        <w:t>This Code shall become applicable with effect from May 15,</w:t>
      </w:r>
      <w:r w:rsidRPr="002E139B">
        <w:rPr>
          <w:rFonts w:ascii="Arial Black" w:hAnsi="Arial Black"/>
          <w:color w:val="0070C0"/>
          <w:spacing w:val="-6"/>
          <w:sz w:val="18"/>
          <w:szCs w:val="24"/>
        </w:rPr>
        <w:t xml:space="preserve"> </w:t>
      </w:r>
      <w:r w:rsidRPr="002E139B">
        <w:rPr>
          <w:rFonts w:ascii="Arial Black" w:hAnsi="Arial Black"/>
          <w:color w:val="0070C0"/>
          <w:sz w:val="18"/>
          <w:szCs w:val="24"/>
        </w:rPr>
        <w:t>2015.</w:t>
      </w:r>
    </w:p>
    <w:p w:rsidR="00880E1A" w:rsidRPr="002E139B" w:rsidRDefault="00880E1A" w:rsidP="002E139B">
      <w:pPr>
        <w:pStyle w:val="BodyText"/>
        <w:rPr>
          <w:rFonts w:ascii="Arial Black" w:hAnsi="Arial Black"/>
          <w:color w:val="0070C0"/>
          <w:sz w:val="18"/>
        </w:rPr>
      </w:pPr>
    </w:p>
    <w:p w:rsidR="00880E1A" w:rsidRPr="002E139B" w:rsidRDefault="00880E1A" w:rsidP="002E139B">
      <w:pPr>
        <w:pStyle w:val="BodyText"/>
        <w:rPr>
          <w:rFonts w:ascii="Arial Black" w:hAnsi="Arial Black"/>
          <w:color w:val="0070C0"/>
          <w:sz w:val="18"/>
        </w:rPr>
      </w:pPr>
    </w:p>
    <w:p w:rsidR="00880E1A" w:rsidRPr="00CD164F" w:rsidRDefault="00553E61" w:rsidP="002E139B">
      <w:pPr>
        <w:pStyle w:val="Heading1"/>
        <w:numPr>
          <w:ilvl w:val="0"/>
          <w:numId w:val="3"/>
        </w:numPr>
        <w:tabs>
          <w:tab w:val="left" w:pos="270"/>
        </w:tabs>
        <w:ind w:left="0" w:firstLine="0"/>
        <w:jc w:val="left"/>
        <w:rPr>
          <w:rFonts w:ascii="Arial Black" w:hAnsi="Arial Black"/>
          <w:color w:val="0070C0"/>
          <w:sz w:val="18"/>
          <w:u w:val="single"/>
        </w:rPr>
      </w:pPr>
      <w:r w:rsidRPr="00CD164F">
        <w:rPr>
          <w:rFonts w:ascii="Arial Black" w:hAnsi="Arial Black"/>
          <w:color w:val="0070C0"/>
          <w:sz w:val="18"/>
          <w:u w:val="single"/>
        </w:rPr>
        <w:t>Principles of Fair Disclosure for purposes of Code of Practice and Procedures for Fair</w:t>
      </w:r>
    </w:p>
    <w:p w:rsidR="00880E1A" w:rsidRPr="002E139B" w:rsidRDefault="00880E1A" w:rsidP="002E139B">
      <w:pPr>
        <w:pStyle w:val="BodyText"/>
        <w:rPr>
          <w:rFonts w:ascii="Arial Black" w:hAnsi="Arial Black"/>
          <w:color w:val="0070C0"/>
          <w:sz w:val="18"/>
        </w:rPr>
      </w:pPr>
    </w:p>
    <w:p w:rsidR="00880E1A" w:rsidRPr="002E139B" w:rsidRDefault="00553E61" w:rsidP="002E139B">
      <w:pPr>
        <w:pStyle w:val="BodyText"/>
        <w:rPr>
          <w:rFonts w:ascii="Arial Black" w:hAnsi="Arial Black"/>
          <w:color w:val="0070C0"/>
          <w:sz w:val="18"/>
        </w:rPr>
      </w:pPr>
      <w:r w:rsidRPr="002E139B">
        <w:rPr>
          <w:rFonts w:ascii="Arial Black" w:hAnsi="Arial Black"/>
          <w:color w:val="0070C0"/>
          <w:sz w:val="18"/>
        </w:rPr>
        <w:t>The Company</w:t>
      </w:r>
      <w:r w:rsidRPr="002E139B">
        <w:rPr>
          <w:rFonts w:ascii="Arial Black" w:hAnsi="Arial Black"/>
          <w:color w:val="0070C0"/>
          <w:spacing w:val="-7"/>
          <w:sz w:val="18"/>
        </w:rPr>
        <w:t xml:space="preserve"> </w:t>
      </w:r>
      <w:r w:rsidRPr="002E139B">
        <w:rPr>
          <w:rFonts w:ascii="Arial Black" w:hAnsi="Arial Black"/>
          <w:color w:val="0070C0"/>
          <w:sz w:val="18"/>
        </w:rPr>
        <w:t>shall-</w:t>
      </w:r>
    </w:p>
    <w:p w:rsidR="00880E1A" w:rsidRPr="002E139B" w:rsidRDefault="00880E1A" w:rsidP="002E139B">
      <w:pPr>
        <w:pStyle w:val="BodyText"/>
        <w:rPr>
          <w:rFonts w:ascii="Arial Black" w:hAnsi="Arial Black"/>
          <w:color w:val="0070C0"/>
          <w:sz w:val="18"/>
        </w:rPr>
      </w:pPr>
    </w:p>
    <w:p w:rsidR="00880E1A" w:rsidRPr="002E139B" w:rsidRDefault="002E139B" w:rsidP="002E139B">
      <w:pPr>
        <w:pStyle w:val="ListParagraph"/>
        <w:numPr>
          <w:ilvl w:val="0"/>
          <w:numId w:val="2"/>
        </w:numPr>
        <w:tabs>
          <w:tab w:val="left" w:pos="804"/>
        </w:tabs>
        <w:ind w:left="360" w:hanging="360"/>
        <w:rPr>
          <w:rFonts w:ascii="Arial Black" w:hAnsi="Arial Black"/>
          <w:color w:val="0070C0"/>
          <w:sz w:val="18"/>
          <w:szCs w:val="24"/>
        </w:rPr>
      </w:pPr>
      <w:r w:rsidRPr="002E139B">
        <w:rPr>
          <w:rFonts w:ascii="Arial Black" w:hAnsi="Arial Black"/>
          <w:color w:val="0070C0"/>
          <w:sz w:val="18"/>
          <w:szCs w:val="24"/>
        </w:rPr>
        <w:t xml:space="preserve">Arrange </w:t>
      </w:r>
      <w:r w:rsidR="00553E61" w:rsidRPr="002E139B">
        <w:rPr>
          <w:rFonts w:ascii="Arial Black" w:hAnsi="Arial Black"/>
          <w:color w:val="0070C0"/>
          <w:sz w:val="18"/>
          <w:szCs w:val="24"/>
        </w:rPr>
        <w:t xml:space="preserve">for prompt public disclosure of unpublished price sensitive information that would impact price discovery no sooner than credible and concrete information comes into being in order to </w:t>
      </w:r>
      <w:r w:rsidRPr="002E139B">
        <w:rPr>
          <w:rFonts w:ascii="Arial Black" w:hAnsi="Arial Black"/>
          <w:color w:val="0070C0"/>
          <w:sz w:val="18"/>
          <w:szCs w:val="24"/>
        </w:rPr>
        <w:t>make such</w:t>
      </w:r>
      <w:r w:rsidR="00553E61" w:rsidRPr="002E139B">
        <w:rPr>
          <w:rFonts w:ascii="Arial Black" w:hAnsi="Arial Black"/>
          <w:color w:val="0070C0"/>
          <w:sz w:val="18"/>
          <w:szCs w:val="24"/>
        </w:rPr>
        <w:t xml:space="preserve"> </w:t>
      </w:r>
      <w:r w:rsidRPr="002E139B">
        <w:rPr>
          <w:rFonts w:ascii="Arial Black" w:hAnsi="Arial Black"/>
          <w:color w:val="0070C0"/>
          <w:sz w:val="18"/>
          <w:szCs w:val="24"/>
        </w:rPr>
        <w:t>information generally</w:t>
      </w:r>
      <w:r w:rsidR="00553E61" w:rsidRPr="002E139B">
        <w:rPr>
          <w:rFonts w:ascii="Arial Black" w:hAnsi="Arial Black"/>
          <w:color w:val="0070C0"/>
          <w:sz w:val="18"/>
          <w:szCs w:val="24"/>
        </w:rPr>
        <w:t xml:space="preserve"> </w:t>
      </w:r>
      <w:r w:rsidRPr="002E139B">
        <w:rPr>
          <w:rFonts w:ascii="Arial Black" w:hAnsi="Arial Black"/>
          <w:color w:val="0070C0"/>
          <w:sz w:val="18"/>
          <w:szCs w:val="24"/>
        </w:rPr>
        <w:t>available</w:t>
      </w:r>
      <w:r w:rsidRPr="002E139B">
        <w:rPr>
          <w:rFonts w:ascii="Arial Black" w:hAnsi="Arial Black"/>
          <w:color w:val="0070C0"/>
          <w:spacing w:val="-1"/>
          <w:sz w:val="18"/>
          <w:szCs w:val="24"/>
        </w:rPr>
        <w:t>.</w:t>
      </w:r>
    </w:p>
    <w:p w:rsidR="00880E1A" w:rsidRPr="002E139B" w:rsidRDefault="00880E1A" w:rsidP="002E139B">
      <w:pPr>
        <w:pStyle w:val="BodyText"/>
        <w:ind w:left="360" w:hanging="360"/>
        <w:rPr>
          <w:rFonts w:ascii="Arial Black" w:hAnsi="Arial Black"/>
          <w:color w:val="0070C0"/>
          <w:sz w:val="18"/>
        </w:rPr>
      </w:pPr>
    </w:p>
    <w:p w:rsidR="00880E1A" w:rsidRPr="002E139B" w:rsidRDefault="002E139B" w:rsidP="002E139B">
      <w:pPr>
        <w:pStyle w:val="ListParagraph"/>
        <w:numPr>
          <w:ilvl w:val="0"/>
          <w:numId w:val="2"/>
        </w:numPr>
        <w:tabs>
          <w:tab w:val="left" w:pos="756"/>
        </w:tabs>
        <w:ind w:left="360" w:hanging="360"/>
        <w:rPr>
          <w:rFonts w:ascii="Arial Black" w:hAnsi="Arial Black"/>
          <w:color w:val="0070C0"/>
          <w:sz w:val="18"/>
          <w:szCs w:val="24"/>
        </w:rPr>
      </w:pPr>
      <w:r w:rsidRPr="002E139B">
        <w:rPr>
          <w:rFonts w:ascii="Arial Black" w:hAnsi="Arial Black"/>
          <w:color w:val="0070C0"/>
          <w:sz w:val="18"/>
          <w:szCs w:val="24"/>
        </w:rPr>
        <w:t xml:space="preserve">Adopt </w:t>
      </w:r>
      <w:r w:rsidR="00553E61" w:rsidRPr="002E139B">
        <w:rPr>
          <w:rFonts w:ascii="Arial Black" w:hAnsi="Arial Black"/>
          <w:color w:val="0070C0"/>
          <w:sz w:val="18"/>
          <w:szCs w:val="24"/>
        </w:rPr>
        <w:t>uniform and universal dissemination of unpublished price sensitive unpublished price sensitive information to avoid selective</w:t>
      </w:r>
      <w:r w:rsidR="00553E61" w:rsidRPr="002E139B">
        <w:rPr>
          <w:rFonts w:ascii="Arial Black" w:hAnsi="Arial Black"/>
          <w:color w:val="0070C0"/>
          <w:spacing w:val="-7"/>
          <w:sz w:val="18"/>
          <w:szCs w:val="24"/>
        </w:rPr>
        <w:t xml:space="preserve"> </w:t>
      </w:r>
      <w:r w:rsidR="00553E61" w:rsidRPr="002E139B">
        <w:rPr>
          <w:rFonts w:ascii="Arial Black" w:hAnsi="Arial Black"/>
          <w:color w:val="0070C0"/>
          <w:sz w:val="18"/>
          <w:szCs w:val="24"/>
        </w:rPr>
        <w:t>disclosure.</w:t>
      </w:r>
    </w:p>
    <w:p w:rsidR="00880E1A" w:rsidRPr="002E139B" w:rsidRDefault="00880E1A" w:rsidP="002E139B">
      <w:pPr>
        <w:pStyle w:val="BodyText"/>
        <w:ind w:left="360" w:hanging="360"/>
        <w:rPr>
          <w:rFonts w:ascii="Arial Black" w:hAnsi="Arial Black"/>
          <w:color w:val="0070C0"/>
          <w:sz w:val="18"/>
        </w:rPr>
      </w:pPr>
    </w:p>
    <w:p w:rsidR="00880E1A" w:rsidRPr="002E139B" w:rsidRDefault="002E139B" w:rsidP="002E139B">
      <w:pPr>
        <w:pStyle w:val="ListParagraph"/>
        <w:numPr>
          <w:ilvl w:val="0"/>
          <w:numId w:val="2"/>
        </w:numPr>
        <w:tabs>
          <w:tab w:val="left" w:pos="746"/>
        </w:tabs>
        <w:ind w:left="360" w:hanging="360"/>
        <w:rPr>
          <w:rFonts w:ascii="Arial Black" w:hAnsi="Arial Black"/>
          <w:color w:val="0070C0"/>
          <w:sz w:val="18"/>
          <w:szCs w:val="24"/>
        </w:rPr>
      </w:pPr>
      <w:r w:rsidRPr="002E139B">
        <w:rPr>
          <w:rFonts w:ascii="Arial Black" w:hAnsi="Arial Black"/>
          <w:color w:val="0070C0"/>
          <w:sz w:val="18"/>
          <w:szCs w:val="24"/>
        </w:rPr>
        <w:t>Designate</w:t>
      </w:r>
      <w:r w:rsidR="00553E61" w:rsidRPr="002E139B">
        <w:rPr>
          <w:rFonts w:ascii="Arial Black" w:hAnsi="Arial Black"/>
          <w:color w:val="0070C0"/>
          <w:sz w:val="18"/>
          <w:szCs w:val="24"/>
        </w:rPr>
        <w:t xml:space="preserve">, Company Secretary as a chief </w:t>
      </w:r>
      <w:r w:rsidRPr="002E139B">
        <w:rPr>
          <w:rFonts w:ascii="Arial Black" w:hAnsi="Arial Black"/>
          <w:color w:val="0070C0"/>
          <w:sz w:val="18"/>
          <w:szCs w:val="24"/>
        </w:rPr>
        <w:t>investor relations</w:t>
      </w:r>
      <w:r w:rsidR="00553E61" w:rsidRPr="002E139B">
        <w:rPr>
          <w:rFonts w:ascii="Arial Black" w:hAnsi="Arial Black"/>
          <w:color w:val="0070C0"/>
          <w:sz w:val="18"/>
          <w:szCs w:val="24"/>
        </w:rPr>
        <w:t xml:space="preserve"> </w:t>
      </w:r>
      <w:r w:rsidRPr="002E139B">
        <w:rPr>
          <w:rFonts w:ascii="Arial Black" w:hAnsi="Arial Black"/>
          <w:color w:val="0070C0"/>
          <w:sz w:val="18"/>
          <w:szCs w:val="24"/>
        </w:rPr>
        <w:t>officer to deal</w:t>
      </w:r>
      <w:r w:rsidR="00553E61" w:rsidRPr="002E139B">
        <w:rPr>
          <w:rFonts w:ascii="Arial Black" w:hAnsi="Arial Black"/>
          <w:color w:val="0070C0"/>
          <w:sz w:val="18"/>
          <w:szCs w:val="24"/>
        </w:rPr>
        <w:t xml:space="preserve"> with dissemination of information and disclosure of unpublished price sensitive information.</w:t>
      </w:r>
    </w:p>
    <w:p w:rsidR="00880E1A" w:rsidRPr="002E139B" w:rsidRDefault="00880E1A" w:rsidP="002E139B">
      <w:pPr>
        <w:pStyle w:val="BodyText"/>
        <w:ind w:left="360" w:hanging="360"/>
        <w:rPr>
          <w:rFonts w:ascii="Arial Black" w:hAnsi="Arial Black"/>
          <w:color w:val="0070C0"/>
          <w:sz w:val="18"/>
        </w:rPr>
      </w:pPr>
    </w:p>
    <w:p w:rsidR="00880E1A" w:rsidRPr="002E139B" w:rsidRDefault="002E139B" w:rsidP="002E139B">
      <w:pPr>
        <w:pStyle w:val="ListParagraph"/>
        <w:numPr>
          <w:ilvl w:val="0"/>
          <w:numId w:val="2"/>
        </w:numPr>
        <w:tabs>
          <w:tab w:val="left" w:pos="725"/>
        </w:tabs>
        <w:ind w:left="360" w:hanging="360"/>
        <w:rPr>
          <w:rFonts w:ascii="Arial Black" w:hAnsi="Arial Black"/>
          <w:color w:val="0070C0"/>
          <w:sz w:val="18"/>
          <w:szCs w:val="24"/>
        </w:rPr>
      </w:pPr>
      <w:r w:rsidRPr="002E139B">
        <w:rPr>
          <w:rFonts w:ascii="Arial Black" w:hAnsi="Arial Black"/>
          <w:color w:val="0070C0"/>
          <w:sz w:val="18"/>
          <w:szCs w:val="24"/>
        </w:rPr>
        <w:t xml:space="preserve">Arrange </w:t>
      </w:r>
      <w:r w:rsidR="00553E61" w:rsidRPr="002E139B">
        <w:rPr>
          <w:rFonts w:ascii="Arial Black" w:hAnsi="Arial Black"/>
          <w:color w:val="0070C0"/>
          <w:sz w:val="18"/>
          <w:szCs w:val="24"/>
        </w:rPr>
        <w:t xml:space="preserve">for prompt </w:t>
      </w:r>
      <w:r w:rsidRPr="002E139B">
        <w:rPr>
          <w:rFonts w:ascii="Arial Black" w:hAnsi="Arial Black"/>
          <w:color w:val="0070C0"/>
          <w:sz w:val="18"/>
          <w:szCs w:val="24"/>
        </w:rPr>
        <w:t>dissemination of unpublished price sensitive</w:t>
      </w:r>
      <w:r w:rsidR="00553E61" w:rsidRPr="002E139B">
        <w:rPr>
          <w:rFonts w:ascii="Arial Black" w:hAnsi="Arial Black"/>
          <w:color w:val="0070C0"/>
          <w:sz w:val="18"/>
          <w:szCs w:val="24"/>
        </w:rPr>
        <w:t xml:space="preserve"> information that gets disclosed selectively, inadvertently or </w:t>
      </w:r>
      <w:r w:rsidRPr="002E139B">
        <w:rPr>
          <w:rFonts w:ascii="Arial Black" w:hAnsi="Arial Black"/>
          <w:color w:val="0070C0"/>
          <w:sz w:val="18"/>
          <w:szCs w:val="24"/>
        </w:rPr>
        <w:t>otherwise to</w:t>
      </w:r>
      <w:r w:rsidR="00553E61" w:rsidRPr="002E139B">
        <w:rPr>
          <w:rFonts w:ascii="Arial Black" w:hAnsi="Arial Black"/>
          <w:color w:val="0070C0"/>
          <w:sz w:val="18"/>
          <w:szCs w:val="24"/>
        </w:rPr>
        <w:t xml:space="preserve"> </w:t>
      </w:r>
      <w:r w:rsidRPr="002E139B">
        <w:rPr>
          <w:rFonts w:ascii="Arial Black" w:hAnsi="Arial Black"/>
          <w:color w:val="0070C0"/>
          <w:sz w:val="18"/>
          <w:szCs w:val="24"/>
        </w:rPr>
        <w:t>make such</w:t>
      </w:r>
      <w:r w:rsidR="00553E61" w:rsidRPr="002E139B">
        <w:rPr>
          <w:rFonts w:ascii="Arial Black" w:hAnsi="Arial Black"/>
          <w:color w:val="0070C0"/>
          <w:sz w:val="18"/>
          <w:szCs w:val="24"/>
        </w:rPr>
        <w:t xml:space="preserve"> information generally</w:t>
      </w:r>
      <w:r w:rsidR="00553E61" w:rsidRPr="002E139B">
        <w:rPr>
          <w:rFonts w:ascii="Arial Black" w:hAnsi="Arial Black"/>
          <w:color w:val="0070C0"/>
          <w:spacing w:val="-3"/>
          <w:sz w:val="18"/>
          <w:szCs w:val="24"/>
        </w:rPr>
        <w:t xml:space="preserve"> </w:t>
      </w:r>
      <w:r w:rsidR="00553E61" w:rsidRPr="002E139B">
        <w:rPr>
          <w:rFonts w:ascii="Arial Black" w:hAnsi="Arial Black"/>
          <w:color w:val="0070C0"/>
          <w:sz w:val="18"/>
          <w:szCs w:val="24"/>
        </w:rPr>
        <w:t>available.</w:t>
      </w:r>
    </w:p>
    <w:p w:rsidR="00880E1A" w:rsidRPr="002E139B" w:rsidRDefault="00880E1A" w:rsidP="002E139B">
      <w:pPr>
        <w:pStyle w:val="BodyText"/>
        <w:ind w:left="360" w:hanging="360"/>
        <w:rPr>
          <w:rFonts w:ascii="Arial Black" w:hAnsi="Arial Black"/>
          <w:color w:val="0070C0"/>
          <w:sz w:val="18"/>
        </w:rPr>
      </w:pPr>
    </w:p>
    <w:p w:rsidR="002E139B" w:rsidRDefault="002E139B" w:rsidP="002E139B">
      <w:pPr>
        <w:pStyle w:val="ListParagraph"/>
        <w:numPr>
          <w:ilvl w:val="0"/>
          <w:numId w:val="2"/>
        </w:numPr>
        <w:tabs>
          <w:tab w:val="left" w:pos="745"/>
        </w:tabs>
        <w:ind w:left="360" w:hanging="360"/>
        <w:rPr>
          <w:rFonts w:ascii="Arial Black" w:hAnsi="Arial Black"/>
          <w:color w:val="0070C0"/>
          <w:sz w:val="18"/>
          <w:szCs w:val="24"/>
        </w:rPr>
      </w:pPr>
      <w:r w:rsidRPr="002E139B">
        <w:rPr>
          <w:rFonts w:ascii="Arial Black" w:hAnsi="Arial Black"/>
          <w:color w:val="0070C0"/>
          <w:sz w:val="18"/>
          <w:szCs w:val="24"/>
        </w:rPr>
        <w:t xml:space="preserve">Appropriately </w:t>
      </w:r>
      <w:r w:rsidR="00553E61" w:rsidRPr="002E139B">
        <w:rPr>
          <w:rFonts w:ascii="Arial Black" w:hAnsi="Arial Black"/>
          <w:color w:val="0070C0"/>
          <w:sz w:val="18"/>
          <w:szCs w:val="24"/>
        </w:rPr>
        <w:t xml:space="preserve">and fairly respond to queries on news reports and requests for verification of market </w:t>
      </w:r>
      <w:r w:rsidRPr="002E139B">
        <w:rPr>
          <w:rFonts w:ascii="Arial Black" w:hAnsi="Arial Black"/>
          <w:color w:val="0070C0"/>
          <w:sz w:val="18"/>
          <w:szCs w:val="24"/>
        </w:rPr>
        <w:t>rumors</w:t>
      </w:r>
      <w:r w:rsidR="00553E61" w:rsidRPr="002E139B">
        <w:rPr>
          <w:rFonts w:ascii="Arial Black" w:hAnsi="Arial Black"/>
          <w:color w:val="0070C0"/>
          <w:sz w:val="18"/>
          <w:szCs w:val="24"/>
        </w:rPr>
        <w:t xml:space="preserve"> by regulatory</w:t>
      </w:r>
      <w:r w:rsidR="00553E61" w:rsidRPr="002E139B">
        <w:rPr>
          <w:rFonts w:ascii="Arial Black" w:hAnsi="Arial Black"/>
          <w:color w:val="0070C0"/>
          <w:spacing w:val="-3"/>
          <w:sz w:val="18"/>
          <w:szCs w:val="24"/>
        </w:rPr>
        <w:t xml:space="preserve"> </w:t>
      </w:r>
      <w:r w:rsidR="00553E61" w:rsidRPr="002E139B">
        <w:rPr>
          <w:rFonts w:ascii="Arial Black" w:hAnsi="Arial Black"/>
          <w:color w:val="0070C0"/>
          <w:sz w:val="18"/>
          <w:szCs w:val="24"/>
        </w:rPr>
        <w:t>authorities.</w:t>
      </w:r>
    </w:p>
    <w:p w:rsidR="002E139B" w:rsidRPr="002E139B" w:rsidRDefault="002E139B" w:rsidP="002E139B">
      <w:pPr>
        <w:pStyle w:val="ListParagraph"/>
        <w:rPr>
          <w:rFonts w:ascii="Arial Black" w:hAnsi="Arial Black"/>
          <w:color w:val="0070C0"/>
          <w:sz w:val="18"/>
          <w:szCs w:val="24"/>
        </w:rPr>
      </w:pPr>
    </w:p>
    <w:p w:rsidR="00880E1A" w:rsidRPr="002E139B" w:rsidRDefault="002E139B" w:rsidP="002E139B">
      <w:pPr>
        <w:pStyle w:val="ListParagraph"/>
        <w:numPr>
          <w:ilvl w:val="0"/>
          <w:numId w:val="2"/>
        </w:numPr>
        <w:tabs>
          <w:tab w:val="left" w:pos="745"/>
        </w:tabs>
        <w:ind w:left="360" w:hanging="360"/>
        <w:rPr>
          <w:rFonts w:ascii="Arial Black" w:hAnsi="Arial Black"/>
          <w:color w:val="0070C0"/>
          <w:sz w:val="18"/>
          <w:szCs w:val="24"/>
        </w:rPr>
      </w:pPr>
      <w:r w:rsidRPr="002E139B">
        <w:rPr>
          <w:rFonts w:ascii="Arial Black" w:hAnsi="Arial Black"/>
          <w:color w:val="0070C0"/>
          <w:sz w:val="18"/>
          <w:szCs w:val="24"/>
        </w:rPr>
        <w:t xml:space="preserve">Ensure </w:t>
      </w:r>
      <w:r w:rsidR="00553E61" w:rsidRPr="002E139B">
        <w:rPr>
          <w:rFonts w:ascii="Arial Black" w:hAnsi="Arial Black"/>
          <w:color w:val="0070C0"/>
          <w:sz w:val="18"/>
          <w:szCs w:val="24"/>
        </w:rPr>
        <w:t>that information shared with analysts and research personnel is not unpublished price sensitive information.</w:t>
      </w:r>
    </w:p>
    <w:p w:rsidR="00880E1A" w:rsidRPr="002E139B" w:rsidRDefault="00880E1A" w:rsidP="002E139B">
      <w:pPr>
        <w:pStyle w:val="BodyText"/>
        <w:ind w:left="360" w:hanging="360"/>
        <w:rPr>
          <w:rFonts w:ascii="Arial Black" w:hAnsi="Arial Black"/>
          <w:color w:val="0070C0"/>
          <w:sz w:val="18"/>
        </w:rPr>
      </w:pPr>
    </w:p>
    <w:p w:rsidR="00880E1A" w:rsidRPr="002E139B" w:rsidRDefault="002E139B" w:rsidP="00AE5917">
      <w:pPr>
        <w:pStyle w:val="ListParagraph"/>
        <w:numPr>
          <w:ilvl w:val="0"/>
          <w:numId w:val="1"/>
        </w:numPr>
        <w:tabs>
          <w:tab w:val="left" w:pos="809"/>
        </w:tabs>
        <w:ind w:left="360" w:hanging="360"/>
        <w:rPr>
          <w:rFonts w:ascii="Arial Black" w:hAnsi="Arial Black"/>
          <w:color w:val="0070C0"/>
          <w:sz w:val="18"/>
          <w:szCs w:val="24"/>
        </w:rPr>
      </w:pPr>
      <w:r w:rsidRPr="002E139B">
        <w:rPr>
          <w:rFonts w:ascii="Arial Black" w:hAnsi="Arial Black"/>
          <w:color w:val="0070C0"/>
          <w:sz w:val="18"/>
          <w:szCs w:val="24"/>
        </w:rPr>
        <w:t>Develop</w:t>
      </w:r>
      <w:r w:rsidR="00553E61" w:rsidRPr="002E139B">
        <w:rPr>
          <w:rFonts w:ascii="Arial Black" w:hAnsi="Arial Black"/>
          <w:color w:val="0070C0"/>
          <w:sz w:val="18"/>
          <w:szCs w:val="24"/>
        </w:rPr>
        <w:t xml:space="preserve"> best practices to make transcripts or records of proceedings of meetings with analysts and other investor relations conferences on the official website to ensure official confirmation and documentation</w:t>
      </w:r>
      <w:r w:rsidR="00553E61" w:rsidRPr="002E139B">
        <w:rPr>
          <w:rFonts w:ascii="Arial Black" w:hAnsi="Arial Black"/>
          <w:color w:val="0070C0"/>
          <w:spacing w:val="54"/>
          <w:sz w:val="18"/>
          <w:szCs w:val="24"/>
        </w:rPr>
        <w:t xml:space="preserve"> </w:t>
      </w:r>
      <w:r w:rsidR="00553E61" w:rsidRPr="002E139B">
        <w:rPr>
          <w:rFonts w:ascii="Arial Black" w:hAnsi="Arial Black"/>
          <w:color w:val="0070C0"/>
          <w:sz w:val="18"/>
          <w:szCs w:val="24"/>
        </w:rPr>
        <w:t>of</w:t>
      </w:r>
      <w:r w:rsidRPr="002E139B">
        <w:rPr>
          <w:rFonts w:ascii="Arial Black" w:hAnsi="Arial Black"/>
          <w:color w:val="0070C0"/>
          <w:sz w:val="18"/>
          <w:szCs w:val="24"/>
        </w:rPr>
        <w:t xml:space="preserve"> </w:t>
      </w:r>
      <w:r w:rsidRPr="002E139B">
        <w:rPr>
          <w:rFonts w:ascii="Arial Black" w:hAnsi="Arial Black"/>
          <w:color w:val="0070C0"/>
          <w:sz w:val="18"/>
        </w:rPr>
        <w:t>Disclosures</w:t>
      </w:r>
      <w:r w:rsidR="00553E61" w:rsidRPr="002E139B">
        <w:rPr>
          <w:rFonts w:ascii="Arial Black" w:hAnsi="Arial Black"/>
          <w:color w:val="0070C0"/>
          <w:sz w:val="18"/>
          <w:szCs w:val="24"/>
        </w:rPr>
        <w:t xml:space="preserve"> made.</w:t>
      </w:r>
    </w:p>
    <w:p w:rsidR="00880E1A" w:rsidRPr="002E139B" w:rsidRDefault="00880E1A" w:rsidP="002E139B">
      <w:pPr>
        <w:pStyle w:val="BodyText"/>
        <w:ind w:left="360" w:hanging="360"/>
        <w:rPr>
          <w:rFonts w:ascii="Arial Black" w:hAnsi="Arial Black"/>
          <w:color w:val="0070C0"/>
          <w:sz w:val="18"/>
        </w:rPr>
      </w:pPr>
    </w:p>
    <w:p w:rsidR="00880E1A" w:rsidRPr="002E139B" w:rsidRDefault="002E139B" w:rsidP="002E139B">
      <w:pPr>
        <w:pStyle w:val="ListParagraph"/>
        <w:numPr>
          <w:ilvl w:val="0"/>
          <w:numId w:val="1"/>
        </w:numPr>
        <w:tabs>
          <w:tab w:val="left" w:pos="667"/>
        </w:tabs>
        <w:ind w:left="360" w:hanging="360"/>
        <w:rPr>
          <w:rFonts w:ascii="Arial Black" w:hAnsi="Arial Black"/>
          <w:color w:val="0070C0"/>
          <w:sz w:val="18"/>
          <w:szCs w:val="24"/>
        </w:rPr>
      </w:pPr>
      <w:r w:rsidRPr="002E139B">
        <w:rPr>
          <w:rFonts w:ascii="Arial Black" w:hAnsi="Arial Black"/>
          <w:color w:val="0070C0"/>
          <w:sz w:val="18"/>
          <w:szCs w:val="24"/>
        </w:rPr>
        <w:t xml:space="preserve">Handle </w:t>
      </w:r>
      <w:r w:rsidR="00553E61" w:rsidRPr="002E139B">
        <w:rPr>
          <w:rFonts w:ascii="Arial Black" w:hAnsi="Arial Black"/>
          <w:color w:val="0070C0"/>
          <w:sz w:val="18"/>
          <w:szCs w:val="24"/>
        </w:rPr>
        <w:t>of all unpublished price sensitive information on a need-t o-know basis.</w:t>
      </w:r>
    </w:p>
    <w:p w:rsidR="00880E1A" w:rsidRPr="002E139B" w:rsidRDefault="00880E1A" w:rsidP="002E139B">
      <w:pPr>
        <w:pStyle w:val="BodyText"/>
        <w:rPr>
          <w:rFonts w:ascii="Arial Black" w:hAnsi="Arial Black"/>
          <w:color w:val="0070C0"/>
          <w:sz w:val="18"/>
        </w:rPr>
      </w:pPr>
    </w:p>
    <w:p w:rsidR="00880E1A" w:rsidRPr="00CD164F" w:rsidRDefault="00553E61" w:rsidP="00CD164F">
      <w:pPr>
        <w:pStyle w:val="Heading1"/>
        <w:numPr>
          <w:ilvl w:val="0"/>
          <w:numId w:val="3"/>
        </w:numPr>
        <w:tabs>
          <w:tab w:val="left" w:pos="270"/>
        </w:tabs>
        <w:ind w:left="0" w:firstLine="0"/>
        <w:jc w:val="left"/>
        <w:rPr>
          <w:rFonts w:ascii="Arial Black" w:hAnsi="Arial Black"/>
          <w:color w:val="0070C0"/>
          <w:sz w:val="18"/>
          <w:u w:val="single"/>
        </w:rPr>
      </w:pPr>
      <w:r w:rsidRPr="00CD164F">
        <w:rPr>
          <w:rFonts w:ascii="Arial Black" w:hAnsi="Arial Black"/>
          <w:color w:val="0070C0"/>
          <w:sz w:val="18"/>
          <w:u w:val="single"/>
        </w:rPr>
        <w:t>Amendment</w:t>
      </w:r>
    </w:p>
    <w:p w:rsidR="00880E1A" w:rsidRPr="002E139B" w:rsidRDefault="00880E1A" w:rsidP="002E139B">
      <w:pPr>
        <w:pStyle w:val="BodyText"/>
        <w:rPr>
          <w:rFonts w:ascii="Arial Black" w:hAnsi="Arial Black"/>
          <w:b/>
          <w:color w:val="0070C0"/>
          <w:sz w:val="18"/>
        </w:rPr>
      </w:pPr>
    </w:p>
    <w:p w:rsidR="00880E1A" w:rsidRPr="002E139B" w:rsidRDefault="00553E61" w:rsidP="002E139B">
      <w:pPr>
        <w:pStyle w:val="BodyText"/>
        <w:jc w:val="both"/>
        <w:rPr>
          <w:rFonts w:ascii="Arial Black" w:hAnsi="Arial Black"/>
          <w:color w:val="0070C0"/>
          <w:sz w:val="18"/>
        </w:rPr>
      </w:pPr>
      <w:r w:rsidRPr="002E139B">
        <w:rPr>
          <w:rFonts w:ascii="Arial Black" w:hAnsi="Arial Black"/>
          <w:color w:val="0070C0"/>
          <w:sz w:val="18"/>
        </w:rPr>
        <w:t xml:space="preserve">Any or </w:t>
      </w:r>
      <w:r w:rsidR="002E139B" w:rsidRPr="002E139B">
        <w:rPr>
          <w:rFonts w:ascii="Arial Black" w:hAnsi="Arial Black"/>
          <w:color w:val="0070C0"/>
          <w:sz w:val="18"/>
        </w:rPr>
        <w:t>all provisions of this Code</w:t>
      </w:r>
      <w:r w:rsidRPr="002E139B">
        <w:rPr>
          <w:rFonts w:ascii="Arial Black" w:hAnsi="Arial Black"/>
          <w:color w:val="0070C0"/>
          <w:sz w:val="18"/>
        </w:rPr>
        <w:t xml:space="preserve"> would   be   </w:t>
      </w:r>
      <w:r w:rsidR="002E139B" w:rsidRPr="002E139B">
        <w:rPr>
          <w:rFonts w:ascii="Arial Black" w:hAnsi="Arial Black"/>
          <w:color w:val="0070C0"/>
          <w:sz w:val="18"/>
        </w:rPr>
        <w:t>subject to</w:t>
      </w:r>
      <w:r w:rsidRPr="002E139B">
        <w:rPr>
          <w:rFonts w:ascii="Arial Black" w:hAnsi="Arial Black"/>
          <w:color w:val="0070C0"/>
          <w:sz w:val="18"/>
        </w:rPr>
        <w:t xml:space="preserve"> revision/amendment in accordance with the guidelines on the subject as may be issued from SEBI from time to</w:t>
      </w:r>
      <w:r w:rsidRPr="002E139B">
        <w:rPr>
          <w:rFonts w:ascii="Arial Black" w:hAnsi="Arial Black"/>
          <w:color w:val="0070C0"/>
          <w:spacing w:val="-1"/>
          <w:sz w:val="18"/>
        </w:rPr>
        <w:t xml:space="preserve"> </w:t>
      </w:r>
      <w:r w:rsidRPr="002E139B">
        <w:rPr>
          <w:rFonts w:ascii="Arial Black" w:hAnsi="Arial Black"/>
          <w:color w:val="0070C0"/>
          <w:sz w:val="18"/>
        </w:rPr>
        <w:t>time.</w:t>
      </w:r>
    </w:p>
    <w:p w:rsidR="00880E1A" w:rsidRPr="002E139B" w:rsidRDefault="00880E1A" w:rsidP="002E139B">
      <w:pPr>
        <w:pStyle w:val="BodyText"/>
        <w:rPr>
          <w:rFonts w:ascii="Arial Black" w:hAnsi="Arial Black"/>
          <w:color w:val="0070C0"/>
          <w:sz w:val="18"/>
        </w:rPr>
      </w:pPr>
    </w:p>
    <w:p w:rsidR="00880E1A" w:rsidRPr="002E139B" w:rsidRDefault="00553E61" w:rsidP="00933824">
      <w:pPr>
        <w:pStyle w:val="BodyText"/>
        <w:jc w:val="both"/>
        <w:rPr>
          <w:rFonts w:ascii="Arial Black" w:hAnsi="Arial Black"/>
          <w:color w:val="0070C0"/>
          <w:sz w:val="18"/>
        </w:rPr>
      </w:pPr>
      <w:r w:rsidRPr="002E139B">
        <w:rPr>
          <w:rFonts w:ascii="Arial Black" w:hAnsi="Arial Black"/>
          <w:color w:val="0070C0"/>
          <w:sz w:val="18"/>
        </w:rPr>
        <w:t>The Board of Directors reserves the right to modify, add, or amend any of provisions of this Code subject to approval of the</w:t>
      </w:r>
      <w:r w:rsidRPr="002E139B">
        <w:rPr>
          <w:rFonts w:ascii="Arial Black" w:hAnsi="Arial Black"/>
          <w:color w:val="0070C0"/>
          <w:spacing w:val="-7"/>
          <w:sz w:val="18"/>
        </w:rPr>
        <w:t xml:space="preserve"> </w:t>
      </w:r>
      <w:r w:rsidRPr="002E139B">
        <w:rPr>
          <w:rFonts w:ascii="Arial Black" w:hAnsi="Arial Black"/>
          <w:color w:val="0070C0"/>
          <w:sz w:val="18"/>
        </w:rPr>
        <w:t>Board.</w:t>
      </w:r>
    </w:p>
    <w:sectPr w:rsidR="00880E1A" w:rsidRPr="002E139B" w:rsidSect="002E139B">
      <w:headerReference w:type="even" r:id="rId7"/>
      <w:headerReference w:type="default" r:id="rId8"/>
      <w:footerReference w:type="even" r:id="rId9"/>
      <w:footerReference w:type="default" r:id="rId10"/>
      <w:headerReference w:type="first" r:id="rId11"/>
      <w:footerReference w:type="first" r:id="rId12"/>
      <w:pgSz w:w="11910" w:h="16840" w:code="9"/>
      <w:pgMar w:top="1440" w:right="1440" w:bottom="1440" w:left="144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82" w:rsidRDefault="00407B82" w:rsidP="00880E1A">
      <w:r>
        <w:separator/>
      </w:r>
    </w:p>
  </w:endnote>
  <w:endnote w:type="continuationSeparator" w:id="0">
    <w:p w:rsidR="00407B82" w:rsidRDefault="00407B82" w:rsidP="0088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71" w:rsidRDefault="005C58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9B" w:rsidRPr="002E139B" w:rsidRDefault="002E139B" w:rsidP="002E139B">
    <w:pPr>
      <w:jc w:val="center"/>
      <w:rPr>
        <w:rFonts w:ascii="Arial Black" w:hAnsi="Arial Black"/>
        <w:color w:val="0070C0"/>
        <w:sz w:val="28"/>
        <w:szCs w:val="24"/>
      </w:rPr>
    </w:pPr>
    <w:r w:rsidRPr="002E139B">
      <w:rPr>
        <w:rFonts w:ascii="Arial Black" w:hAnsi="Arial Black"/>
        <w:color w:val="0070C0"/>
        <w:sz w:val="28"/>
        <w:szCs w:val="24"/>
      </w:rPr>
      <w:t>**********************</w:t>
    </w:r>
  </w:p>
  <w:p w:rsidR="002E139B" w:rsidRDefault="002E13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71" w:rsidRDefault="005C5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82" w:rsidRDefault="00407B82" w:rsidP="00880E1A">
      <w:r>
        <w:separator/>
      </w:r>
    </w:p>
  </w:footnote>
  <w:footnote w:type="continuationSeparator" w:id="0">
    <w:p w:rsidR="00407B82" w:rsidRDefault="00407B82" w:rsidP="00880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71" w:rsidRDefault="005C58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82" w:rsidRPr="002E139B" w:rsidRDefault="00407B82" w:rsidP="0044794B">
    <w:pPr>
      <w:widowControl/>
      <w:autoSpaceDE/>
      <w:autoSpaceDN/>
      <w:spacing w:before="63" w:after="63"/>
      <w:ind w:left="63" w:right="63"/>
      <w:jc w:val="center"/>
      <w:rPr>
        <w:rFonts w:ascii="Berlin Sans FB Demi" w:eastAsia="Times New Roman" w:hAnsi="Berlin Sans FB Demi" w:cs="Times New Roman"/>
        <w:b/>
        <w:color w:val="1D1D1C"/>
        <w:sz w:val="46"/>
        <w:szCs w:val="16"/>
        <w:lang w:bidi="ar-SA"/>
      </w:rPr>
    </w:pPr>
    <w:r w:rsidRPr="002E139B">
      <w:rPr>
        <w:rFonts w:ascii="Berlin Sans FB Demi" w:eastAsia="Times New Roman" w:hAnsi="Berlin Sans FB Demi" w:cs="Times New Roman"/>
        <w:b/>
        <w:color w:val="1D1D1C"/>
        <w:sz w:val="46"/>
        <w:szCs w:val="16"/>
        <w:lang w:bidi="ar-SA"/>
      </w:rPr>
      <w:t>MAYUKH DEALTRADE LIMITED</w:t>
    </w:r>
  </w:p>
  <w:p w:rsidR="00407B82" w:rsidRPr="002E139B" w:rsidRDefault="00407B82" w:rsidP="0044794B">
    <w:pPr>
      <w:widowControl/>
      <w:autoSpaceDE/>
      <w:autoSpaceDN/>
      <w:spacing w:before="63" w:after="63"/>
      <w:ind w:left="63" w:right="63"/>
      <w:jc w:val="center"/>
      <w:rPr>
        <w:rFonts w:ascii="Berlin Sans FB Demi" w:eastAsia="Times New Roman" w:hAnsi="Berlin Sans FB Demi" w:cs="Times New Roman"/>
        <w:b/>
        <w:color w:val="1D1D1C"/>
        <w:sz w:val="28"/>
        <w:szCs w:val="16"/>
        <w:lang w:bidi="ar-SA"/>
      </w:rPr>
    </w:pPr>
    <w:r w:rsidRPr="002E139B">
      <w:rPr>
        <w:rFonts w:ascii="Berlin Sans FB Demi" w:eastAsia="Times New Roman" w:hAnsi="Berlin Sans FB Demi" w:cs="Times New Roman"/>
        <w:b/>
        <w:color w:val="1D1D1C"/>
        <w:sz w:val="28"/>
        <w:szCs w:val="16"/>
        <w:lang w:bidi="ar-SA"/>
      </w:rPr>
      <w:t xml:space="preserve">CIN: </w:t>
    </w:r>
    <w:r w:rsidR="005C5871" w:rsidRPr="005C5871">
      <w:rPr>
        <w:rFonts w:ascii="Berlin Sans FB Demi" w:eastAsia="Times New Roman" w:hAnsi="Berlin Sans FB Demi" w:cs="Times New Roman"/>
        <w:b/>
        <w:color w:val="1D1D1C"/>
        <w:sz w:val="28"/>
        <w:szCs w:val="16"/>
        <w:lang w:bidi="ar-SA"/>
      </w:rPr>
      <w:t>L51219MH1980PLC329224</w:t>
    </w:r>
    <w:bookmarkStart w:id="0" w:name="_GoBack"/>
    <w:bookmarkEnd w:id="0"/>
  </w:p>
  <w:p w:rsidR="00407B82" w:rsidRPr="0044794B" w:rsidRDefault="00407B82" w:rsidP="0044794B">
    <w:pPr>
      <w:widowControl/>
      <w:autoSpaceDE/>
      <w:autoSpaceDN/>
      <w:spacing w:before="63" w:after="63"/>
      <w:ind w:left="63" w:right="63"/>
      <w:jc w:val="center"/>
      <w:rPr>
        <w:rFonts w:ascii="Times New Roman" w:eastAsia="Times New Roman" w:hAnsi="Times New Roman" w:cs="Times New Roman"/>
        <w:b/>
        <w:color w:val="1D1D1C"/>
        <w:sz w:val="24"/>
        <w:szCs w:val="16"/>
        <w:lang w:bidi="ar-SA"/>
      </w:rPr>
    </w:pPr>
    <w:r>
      <w:rPr>
        <w:rFonts w:ascii="Times New Roman" w:eastAsia="Times New Roman" w:hAnsi="Times New Roman" w:cs="Times New Roman"/>
        <w:b/>
        <w:color w:val="1D1D1C"/>
        <w:sz w:val="24"/>
        <w:szCs w:val="16"/>
        <w:lang w:bidi="ar-SA"/>
      </w:rPr>
      <w:t>---------------------------------------------------------------------------------------------------------------</w:t>
    </w:r>
  </w:p>
  <w:p w:rsidR="00407B82" w:rsidRDefault="00407B82" w:rsidP="0044794B">
    <w:pPr>
      <w:pStyle w:val="BodyText"/>
      <w:spacing w:line="14" w:lineRule="auto"/>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71" w:rsidRDefault="005C58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24B8"/>
    <w:multiLevelType w:val="hybridMultilevel"/>
    <w:tmpl w:val="E02C9422"/>
    <w:lvl w:ilvl="0" w:tplc="75FE348C">
      <w:start w:val="1"/>
      <w:numFmt w:val="lowerRoman"/>
      <w:lvlText w:val="%1."/>
      <w:lvlJc w:val="left"/>
      <w:pPr>
        <w:ind w:left="242" w:hanging="562"/>
      </w:pPr>
      <w:rPr>
        <w:rFonts w:ascii="Book Antiqua" w:eastAsia="Book Antiqua" w:hAnsi="Book Antiqua" w:cs="Book Antiqua" w:hint="default"/>
        <w:spacing w:val="-29"/>
        <w:w w:val="100"/>
        <w:sz w:val="24"/>
        <w:szCs w:val="24"/>
        <w:lang w:val="en-US" w:eastAsia="en-US" w:bidi="en-US"/>
      </w:rPr>
    </w:lvl>
    <w:lvl w:ilvl="1" w:tplc="4E8CA468">
      <w:numFmt w:val="bullet"/>
      <w:lvlText w:val="•"/>
      <w:lvlJc w:val="left"/>
      <w:pPr>
        <w:ind w:left="1140" w:hanging="562"/>
      </w:pPr>
      <w:rPr>
        <w:rFonts w:hint="default"/>
        <w:lang w:val="en-US" w:eastAsia="en-US" w:bidi="en-US"/>
      </w:rPr>
    </w:lvl>
    <w:lvl w:ilvl="2" w:tplc="A414FD54">
      <w:numFmt w:val="bullet"/>
      <w:lvlText w:val="•"/>
      <w:lvlJc w:val="left"/>
      <w:pPr>
        <w:ind w:left="2041" w:hanging="562"/>
      </w:pPr>
      <w:rPr>
        <w:rFonts w:hint="default"/>
        <w:lang w:val="en-US" w:eastAsia="en-US" w:bidi="en-US"/>
      </w:rPr>
    </w:lvl>
    <w:lvl w:ilvl="3" w:tplc="140A218A">
      <w:numFmt w:val="bullet"/>
      <w:lvlText w:val="•"/>
      <w:lvlJc w:val="left"/>
      <w:pPr>
        <w:ind w:left="2941" w:hanging="562"/>
      </w:pPr>
      <w:rPr>
        <w:rFonts w:hint="default"/>
        <w:lang w:val="en-US" w:eastAsia="en-US" w:bidi="en-US"/>
      </w:rPr>
    </w:lvl>
    <w:lvl w:ilvl="4" w:tplc="34B8FC9E">
      <w:numFmt w:val="bullet"/>
      <w:lvlText w:val="•"/>
      <w:lvlJc w:val="left"/>
      <w:pPr>
        <w:ind w:left="3842" w:hanging="562"/>
      </w:pPr>
      <w:rPr>
        <w:rFonts w:hint="default"/>
        <w:lang w:val="en-US" w:eastAsia="en-US" w:bidi="en-US"/>
      </w:rPr>
    </w:lvl>
    <w:lvl w:ilvl="5" w:tplc="F2A64A3C">
      <w:numFmt w:val="bullet"/>
      <w:lvlText w:val="•"/>
      <w:lvlJc w:val="left"/>
      <w:pPr>
        <w:ind w:left="4743" w:hanging="562"/>
      </w:pPr>
      <w:rPr>
        <w:rFonts w:hint="default"/>
        <w:lang w:val="en-US" w:eastAsia="en-US" w:bidi="en-US"/>
      </w:rPr>
    </w:lvl>
    <w:lvl w:ilvl="6" w:tplc="2C78768C">
      <w:numFmt w:val="bullet"/>
      <w:lvlText w:val="•"/>
      <w:lvlJc w:val="left"/>
      <w:pPr>
        <w:ind w:left="5643" w:hanging="562"/>
      </w:pPr>
      <w:rPr>
        <w:rFonts w:hint="default"/>
        <w:lang w:val="en-US" w:eastAsia="en-US" w:bidi="en-US"/>
      </w:rPr>
    </w:lvl>
    <w:lvl w:ilvl="7" w:tplc="3AF63FAE">
      <w:numFmt w:val="bullet"/>
      <w:lvlText w:val="•"/>
      <w:lvlJc w:val="left"/>
      <w:pPr>
        <w:ind w:left="6544" w:hanging="562"/>
      </w:pPr>
      <w:rPr>
        <w:rFonts w:hint="default"/>
        <w:lang w:val="en-US" w:eastAsia="en-US" w:bidi="en-US"/>
      </w:rPr>
    </w:lvl>
    <w:lvl w:ilvl="8" w:tplc="768AF08C">
      <w:numFmt w:val="bullet"/>
      <w:lvlText w:val="•"/>
      <w:lvlJc w:val="left"/>
      <w:pPr>
        <w:ind w:left="7445" w:hanging="562"/>
      </w:pPr>
      <w:rPr>
        <w:rFonts w:hint="default"/>
        <w:lang w:val="en-US" w:eastAsia="en-US" w:bidi="en-US"/>
      </w:rPr>
    </w:lvl>
  </w:abstractNum>
  <w:abstractNum w:abstractNumId="1" w15:restartNumberingAfterBreak="0">
    <w:nsid w:val="65C636E1"/>
    <w:multiLevelType w:val="hybridMultilevel"/>
    <w:tmpl w:val="43B4E0EC"/>
    <w:lvl w:ilvl="0" w:tplc="6340213C">
      <w:start w:val="1"/>
      <w:numFmt w:val="decimal"/>
      <w:lvlText w:val="%1."/>
      <w:lvlJc w:val="left"/>
      <w:pPr>
        <w:ind w:left="340" w:hanging="240"/>
        <w:jc w:val="right"/>
      </w:pPr>
      <w:rPr>
        <w:rFonts w:ascii="Book Antiqua" w:eastAsia="Book Antiqua" w:hAnsi="Book Antiqua" w:cs="Book Antiqua" w:hint="default"/>
        <w:b/>
        <w:bCs/>
        <w:spacing w:val="-1"/>
        <w:w w:val="100"/>
        <w:sz w:val="24"/>
        <w:szCs w:val="24"/>
        <w:lang w:val="en-US" w:eastAsia="en-US" w:bidi="en-US"/>
      </w:rPr>
    </w:lvl>
    <w:lvl w:ilvl="1" w:tplc="4286869A">
      <w:start w:val="1"/>
      <w:numFmt w:val="lowerLetter"/>
      <w:lvlText w:val="%2."/>
      <w:lvlJc w:val="left"/>
      <w:pPr>
        <w:ind w:left="1094" w:hanging="540"/>
      </w:pPr>
      <w:rPr>
        <w:rFonts w:ascii="Book Antiqua" w:eastAsia="Book Antiqua" w:hAnsi="Book Antiqua" w:cs="Book Antiqua" w:hint="default"/>
        <w:b/>
        <w:bCs/>
        <w:spacing w:val="-29"/>
        <w:w w:val="100"/>
        <w:sz w:val="24"/>
        <w:szCs w:val="24"/>
        <w:lang w:val="en-US" w:eastAsia="en-US" w:bidi="en-US"/>
      </w:rPr>
    </w:lvl>
    <w:lvl w:ilvl="2" w:tplc="3DFE84C4">
      <w:numFmt w:val="bullet"/>
      <w:lvlText w:val="•"/>
      <w:lvlJc w:val="left"/>
      <w:pPr>
        <w:ind w:left="2005" w:hanging="540"/>
      </w:pPr>
      <w:rPr>
        <w:rFonts w:hint="default"/>
        <w:lang w:val="en-US" w:eastAsia="en-US" w:bidi="en-US"/>
      </w:rPr>
    </w:lvl>
    <w:lvl w:ilvl="3" w:tplc="BCBE55B0">
      <w:numFmt w:val="bullet"/>
      <w:lvlText w:val="•"/>
      <w:lvlJc w:val="left"/>
      <w:pPr>
        <w:ind w:left="2910" w:hanging="540"/>
      </w:pPr>
      <w:rPr>
        <w:rFonts w:hint="default"/>
        <w:lang w:val="en-US" w:eastAsia="en-US" w:bidi="en-US"/>
      </w:rPr>
    </w:lvl>
    <w:lvl w:ilvl="4" w:tplc="B060C90E">
      <w:numFmt w:val="bullet"/>
      <w:lvlText w:val="•"/>
      <w:lvlJc w:val="left"/>
      <w:pPr>
        <w:ind w:left="3815" w:hanging="540"/>
      </w:pPr>
      <w:rPr>
        <w:rFonts w:hint="default"/>
        <w:lang w:val="en-US" w:eastAsia="en-US" w:bidi="en-US"/>
      </w:rPr>
    </w:lvl>
    <w:lvl w:ilvl="5" w:tplc="9E58322E">
      <w:numFmt w:val="bullet"/>
      <w:lvlText w:val="•"/>
      <w:lvlJc w:val="left"/>
      <w:pPr>
        <w:ind w:left="4720" w:hanging="540"/>
      </w:pPr>
      <w:rPr>
        <w:rFonts w:hint="default"/>
        <w:lang w:val="en-US" w:eastAsia="en-US" w:bidi="en-US"/>
      </w:rPr>
    </w:lvl>
    <w:lvl w:ilvl="6" w:tplc="81AAEB9C">
      <w:numFmt w:val="bullet"/>
      <w:lvlText w:val="•"/>
      <w:lvlJc w:val="left"/>
      <w:pPr>
        <w:ind w:left="5625" w:hanging="540"/>
      </w:pPr>
      <w:rPr>
        <w:rFonts w:hint="default"/>
        <w:lang w:val="en-US" w:eastAsia="en-US" w:bidi="en-US"/>
      </w:rPr>
    </w:lvl>
    <w:lvl w:ilvl="7" w:tplc="488A295E">
      <w:numFmt w:val="bullet"/>
      <w:lvlText w:val="•"/>
      <w:lvlJc w:val="left"/>
      <w:pPr>
        <w:ind w:left="6530" w:hanging="540"/>
      </w:pPr>
      <w:rPr>
        <w:rFonts w:hint="default"/>
        <w:lang w:val="en-US" w:eastAsia="en-US" w:bidi="en-US"/>
      </w:rPr>
    </w:lvl>
    <w:lvl w:ilvl="8" w:tplc="756C26FC">
      <w:numFmt w:val="bullet"/>
      <w:lvlText w:val="•"/>
      <w:lvlJc w:val="left"/>
      <w:pPr>
        <w:ind w:left="7436" w:hanging="540"/>
      </w:pPr>
      <w:rPr>
        <w:rFonts w:hint="default"/>
        <w:lang w:val="en-US" w:eastAsia="en-US" w:bidi="en-US"/>
      </w:rPr>
    </w:lvl>
  </w:abstractNum>
  <w:abstractNum w:abstractNumId="2" w15:restartNumberingAfterBreak="0">
    <w:nsid w:val="744A0B52"/>
    <w:multiLevelType w:val="hybridMultilevel"/>
    <w:tmpl w:val="40989C88"/>
    <w:lvl w:ilvl="0" w:tplc="8980997A">
      <w:start w:val="7"/>
      <w:numFmt w:val="lowerRoman"/>
      <w:lvlText w:val="%1."/>
      <w:lvlJc w:val="left"/>
      <w:pPr>
        <w:ind w:left="201" w:hanging="608"/>
      </w:pPr>
      <w:rPr>
        <w:rFonts w:ascii="Book Antiqua" w:eastAsia="Book Antiqua" w:hAnsi="Book Antiqua" w:cs="Book Antiqua" w:hint="default"/>
        <w:spacing w:val="-30"/>
        <w:w w:val="100"/>
        <w:sz w:val="24"/>
        <w:szCs w:val="24"/>
        <w:lang w:val="en-US" w:eastAsia="en-US" w:bidi="en-US"/>
      </w:rPr>
    </w:lvl>
    <w:lvl w:ilvl="1" w:tplc="6BF40520">
      <w:numFmt w:val="bullet"/>
      <w:lvlText w:val="•"/>
      <w:lvlJc w:val="left"/>
      <w:pPr>
        <w:ind w:left="1104" w:hanging="608"/>
      </w:pPr>
      <w:rPr>
        <w:rFonts w:hint="default"/>
        <w:lang w:val="en-US" w:eastAsia="en-US" w:bidi="en-US"/>
      </w:rPr>
    </w:lvl>
    <w:lvl w:ilvl="2" w:tplc="F82C69EE">
      <w:numFmt w:val="bullet"/>
      <w:lvlText w:val="•"/>
      <w:lvlJc w:val="left"/>
      <w:pPr>
        <w:ind w:left="2009" w:hanging="608"/>
      </w:pPr>
      <w:rPr>
        <w:rFonts w:hint="default"/>
        <w:lang w:val="en-US" w:eastAsia="en-US" w:bidi="en-US"/>
      </w:rPr>
    </w:lvl>
    <w:lvl w:ilvl="3" w:tplc="3B5E05B6">
      <w:numFmt w:val="bullet"/>
      <w:lvlText w:val="•"/>
      <w:lvlJc w:val="left"/>
      <w:pPr>
        <w:ind w:left="2913" w:hanging="608"/>
      </w:pPr>
      <w:rPr>
        <w:rFonts w:hint="default"/>
        <w:lang w:val="en-US" w:eastAsia="en-US" w:bidi="en-US"/>
      </w:rPr>
    </w:lvl>
    <w:lvl w:ilvl="4" w:tplc="9A8C7282">
      <w:numFmt w:val="bullet"/>
      <w:lvlText w:val="•"/>
      <w:lvlJc w:val="left"/>
      <w:pPr>
        <w:ind w:left="3818" w:hanging="608"/>
      </w:pPr>
      <w:rPr>
        <w:rFonts w:hint="default"/>
        <w:lang w:val="en-US" w:eastAsia="en-US" w:bidi="en-US"/>
      </w:rPr>
    </w:lvl>
    <w:lvl w:ilvl="5" w:tplc="4EDCC402">
      <w:numFmt w:val="bullet"/>
      <w:lvlText w:val="•"/>
      <w:lvlJc w:val="left"/>
      <w:pPr>
        <w:ind w:left="4723" w:hanging="608"/>
      </w:pPr>
      <w:rPr>
        <w:rFonts w:hint="default"/>
        <w:lang w:val="en-US" w:eastAsia="en-US" w:bidi="en-US"/>
      </w:rPr>
    </w:lvl>
    <w:lvl w:ilvl="6" w:tplc="34203D60">
      <w:numFmt w:val="bullet"/>
      <w:lvlText w:val="•"/>
      <w:lvlJc w:val="left"/>
      <w:pPr>
        <w:ind w:left="5627" w:hanging="608"/>
      </w:pPr>
      <w:rPr>
        <w:rFonts w:hint="default"/>
        <w:lang w:val="en-US" w:eastAsia="en-US" w:bidi="en-US"/>
      </w:rPr>
    </w:lvl>
    <w:lvl w:ilvl="7" w:tplc="0EF08B68">
      <w:numFmt w:val="bullet"/>
      <w:lvlText w:val="•"/>
      <w:lvlJc w:val="left"/>
      <w:pPr>
        <w:ind w:left="6532" w:hanging="608"/>
      </w:pPr>
      <w:rPr>
        <w:rFonts w:hint="default"/>
        <w:lang w:val="en-US" w:eastAsia="en-US" w:bidi="en-US"/>
      </w:rPr>
    </w:lvl>
    <w:lvl w:ilvl="8" w:tplc="8AFC7C28">
      <w:numFmt w:val="bullet"/>
      <w:lvlText w:val="•"/>
      <w:lvlJc w:val="left"/>
      <w:pPr>
        <w:ind w:left="7437" w:hanging="60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11265">
      <o:colormenu v:ext="edit" fillcolor="none [3214]"/>
    </o:shapedefaults>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0E1A"/>
    <w:rsid w:val="00177797"/>
    <w:rsid w:val="002E139B"/>
    <w:rsid w:val="00407B82"/>
    <w:rsid w:val="0044794B"/>
    <w:rsid w:val="004D5A7C"/>
    <w:rsid w:val="00553E61"/>
    <w:rsid w:val="005C5871"/>
    <w:rsid w:val="00772EE5"/>
    <w:rsid w:val="007732CE"/>
    <w:rsid w:val="00880E1A"/>
    <w:rsid w:val="00933824"/>
    <w:rsid w:val="00BF2070"/>
    <w:rsid w:val="00CD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3214]"/>
    </o:shapedefaults>
    <o:shapelayout v:ext="edit">
      <o:idmap v:ext="edit" data="1"/>
    </o:shapelayout>
  </w:shapeDefaults>
  <w:decimalSymbol w:val="."/>
  <w:listSeparator w:val=","/>
  <w15:docId w15:val="{7D008DCB-259F-48AD-85C5-F79A1D13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0E1A"/>
    <w:rPr>
      <w:rFonts w:ascii="Book Antiqua" w:eastAsia="Book Antiqua" w:hAnsi="Book Antiqua" w:cs="Book Antiqua"/>
      <w:lang w:bidi="en-US"/>
    </w:rPr>
  </w:style>
  <w:style w:type="paragraph" w:styleId="Heading1">
    <w:name w:val="heading 1"/>
    <w:basedOn w:val="Normal"/>
    <w:uiPriority w:val="1"/>
    <w:qFormat/>
    <w:rsid w:val="00880E1A"/>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0E1A"/>
    <w:rPr>
      <w:sz w:val="24"/>
      <w:szCs w:val="24"/>
    </w:rPr>
  </w:style>
  <w:style w:type="paragraph" w:styleId="ListParagraph">
    <w:name w:val="List Paragraph"/>
    <w:basedOn w:val="Normal"/>
    <w:uiPriority w:val="1"/>
    <w:qFormat/>
    <w:rsid w:val="00880E1A"/>
    <w:pPr>
      <w:ind w:left="201"/>
      <w:jc w:val="both"/>
    </w:pPr>
  </w:style>
  <w:style w:type="paragraph" w:customStyle="1" w:styleId="TableParagraph">
    <w:name w:val="Table Paragraph"/>
    <w:basedOn w:val="Normal"/>
    <w:uiPriority w:val="1"/>
    <w:qFormat/>
    <w:rsid w:val="00880E1A"/>
  </w:style>
  <w:style w:type="paragraph" w:styleId="Header">
    <w:name w:val="header"/>
    <w:basedOn w:val="Normal"/>
    <w:link w:val="HeaderChar"/>
    <w:uiPriority w:val="99"/>
    <w:unhideWhenUsed/>
    <w:rsid w:val="0044794B"/>
    <w:pPr>
      <w:tabs>
        <w:tab w:val="center" w:pos="4680"/>
        <w:tab w:val="right" w:pos="9360"/>
      </w:tabs>
    </w:pPr>
  </w:style>
  <w:style w:type="character" w:customStyle="1" w:styleId="HeaderChar">
    <w:name w:val="Header Char"/>
    <w:basedOn w:val="DefaultParagraphFont"/>
    <w:link w:val="Header"/>
    <w:uiPriority w:val="99"/>
    <w:rsid w:val="0044794B"/>
    <w:rPr>
      <w:rFonts w:ascii="Book Antiqua" w:eastAsia="Book Antiqua" w:hAnsi="Book Antiqua" w:cs="Book Antiqua"/>
      <w:lang w:bidi="en-US"/>
    </w:rPr>
  </w:style>
  <w:style w:type="paragraph" w:styleId="Footer">
    <w:name w:val="footer"/>
    <w:basedOn w:val="Normal"/>
    <w:link w:val="FooterChar"/>
    <w:uiPriority w:val="99"/>
    <w:unhideWhenUsed/>
    <w:rsid w:val="0044794B"/>
    <w:pPr>
      <w:tabs>
        <w:tab w:val="center" w:pos="4680"/>
        <w:tab w:val="right" w:pos="9360"/>
      </w:tabs>
    </w:pPr>
  </w:style>
  <w:style w:type="character" w:customStyle="1" w:styleId="FooterChar">
    <w:name w:val="Footer Char"/>
    <w:basedOn w:val="DefaultParagraphFont"/>
    <w:link w:val="Footer"/>
    <w:uiPriority w:val="99"/>
    <w:rsid w:val="0044794B"/>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8825">
      <w:bodyDiv w:val="1"/>
      <w:marLeft w:val="0"/>
      <w:marRight w:val="0"/>
      <w:marTop w:val="0"/>
      <w:marBottom w:val="0"/>
      <w:divBdr>
        <w:top w:val="none" w:sz="0" w:space="0" w:color="auto"/>
        <w:left w:val="none" w:sz="0" w:space="0" w:color="auto"/>
        <w:bottom w:val="none" w:sz="0" w:space="0" w:color="auto"/>
        <w:right w:val="none" w:sz="0" w:space="0" w:color="auto"/>
      </w:divBdr>
    </w:div>
    <w:div w:id="100062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yamini 1</dc:creator>
  <cp:lastModifiedBy>Admin</cp:lastModifiedBy>
  <cp:revision>31</cp:revision>
  <dcterms:created xsi:type="dcterms:W3CDTF">2019-02-28T10:31:00Z</dcterms:created>
  <dcterms:modified xsi:type="dcterms:W3CDTF">2023-03-13T13:38:00Z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vt:lpwstr>
  </property>
  <property fmtid="{D5CDD505-2E9C-101B-9397-08002B2CF9AE}" pid="4" name="LastSaved">
    <vt:filetime>2019-02-28T00:00:00Z</vt:filetime>
  </property>
</Properties>
</file>